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262"/>
        <w:gridCol w:w="1202"/>
        <w:gridCol w:w="2404"/>
        <w:gridCol w:w="60"/>
        <w:gridCol w:w="2417"/>
        <w:gridCol w:w="1170"/>
      </w:tblGrid>
      <w:tr w:rsidR="00E26978" w:rsidRPr="00E26978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7253" w:type="dxa"/>
            <w:gridSpan w:val="5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lang w:val="sr-Cyrl-CS" w:eastAsia="sr-Latn-CS"/>
              </w:rPr>
            </w:pPr>
            <w:bookmarkStart w:id="0" w:name="_Toc431806220"/>
            <w:r w:rsidRPr="00E26978">
              <w:rPr>
                <w:rFonts w:eastAsia="Calibri" w:cs="Times New Roman"/>
                <w:lang w:val="sr-Cyrl-CS" w:eastAsia="sr-Latn-CS"/>
              </w:rPr>
              <w:t>Радмила Б. Миловановић</w:t>
            </w:r>
            <w:bookmarkEnd w:id="0"/>
          </w:p>
        </w:tc>
      </w:tr>
      <w:tr w:rsidR="00E26978" w:rsidRPr="00E26978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b/>
                <w:szCs w:val="20"/>
                <w:lang w:val="sr-Cyrl-CS" w:eastAsia="sr-Latn-CS"/>
              </w:rPr>
              <w:t>Звање</w:t>
            </w:r>
          </w:p>
        </w:tc>
        <w:tc>
          <w:tcPr>
            <w:tcW w:w="7253" w:type="dxa"/>
            <w:gridSpan w:val="5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Cs w:val="20"/>
                <w:lang w:val="sr-Cyrl-CS" w:eastAsia="sr-Latn-CS"/>
              </w:rPr>
              <w:t>Ванредни професор</w:t>
            </w:r>
          </w:p>
        </w:tc>
      </w:tr>
      <w:tr w:rsidR="00E26978" w:rsidRPr="00E26978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>Ужа научна област</w:t>
            </w:r>
          </w:p>
        </w:tc>
        <w:tc>
          <w:tcPr>
            <w:tcW w:w="7253" w:type="dxa"/>
            <w:gridSpan w:val="5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Медицинско-психолошке неуке (интерполарни ниво)</w:t>
            </w:r>
          </w:p>
        </w:tc>
      </w:tr>
      <w:tr w:rsidR="00E26978" w:rsidRPr="00E26978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Институција </w:t>
            </w:r>
          </w:p>
        </w:tc>
        <w:tc>
          <w:tcPr>
            <w:tcW w:w="3587" w:type="dxa"/>
            <w:gridSpan w:val="2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Област </w:t>
            </w:r>
          </w:p>
        </w:tc>
      </w:tr>
      <w:tr w:rsidR="00E26978" w:rsidRPr="00E26978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2014.</w:t>
            </w:r>
          </w:p>
        </w:tc>
        <w:tc>
          <w:tcPr>
            <w:tcW w:w="3666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Факултет педагошких наука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</w:t>
            </w: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 Јагодина</w:t>
            </w:r>
          </w:p>
        </w:tc>
        <w:tc>
          <w:tcPr>
            <w:tcW w:w="3587" w:type="dxa"/>
            <w:gridSpan w:val="2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Медицинско-психолошке неуке (интерполарни ниво)</w:t>
            </w:r>
          </w:p>
        </w:tc>
      </w:tr>
      <w:tr w:rsidR="00E26978" w:rsidRPr="00E26978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2002.</w:t>
            </w:r>
          </w:p>
        </w:tc>
        <w:tc>
          <w:tcPr>
            <w:tcW w:w="3666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Медицински факултет, Београд</w:t>
            </w:r>
          </w:p>
        </w:tc>
        <w:tc>
          <w:tcPr>
            <w:tcW w:w="3587" w:type="dxa"/>
            <w:gridSpan w:val="2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Неуропсихологија</w:t>
            </w:r>
          </w:p>
        </w:tc>
      </w:tr>
      <w:tr w:rsidR="00E26978" w:rsidRPr="00E26978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1977.</w:t>
            </w:r>
          </w:p>
        </w:tc>
        <w:tc>
          <w:tcPr>
            <w:tcW w:w="3666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Филозофски факултет</w:t>
            </w:r>
          </w:p>
        </w:tc>
        <w:tc>
          <w:tcPr>
            <w:tcW w:w="3587" w:type="dxa"/>
            <w:gridSpan w:val="2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Психологија</w:t>
            </w:r>
          </w:p>
        </w:tc>
      </w:tr>
      <w:tr w:rsidR="00E26978" w:rsidRPr="00E26978" w:rsidTr="007340A0">
        <w:trPr>
          <w:trHeight w:val="227"/>
        </w:trPr>
        <w:tc>
          <w:tcPr>
            <w:tcW w:w="10980" w:type="dxa"/>
            <w:gridSpan w:val="9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E26978" w:rsidRPr="00E26978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iCs/>
                <w:sz w:val="22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3647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Врста студија</w:t>
            </w:r>
          </w:p>
        </w:tc>
      </w:tr>
      <w:tr w:rsidR="00E26978" w:rsidRPr="00E26978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Интеракција и комуникација у васпитном раду</w:t>
            </w:r>
          </w:p>
        </w:tc>
        <w:tc>
          <w:tcPr>
            <w:tcW w:w="3647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ОАС</w:t>
            </w:r>
          </w:p>
        </w:tc>
      </w:tr>
      <w:tr w:rsidR="00E26978" w:rsidRPr="00E26978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Психологија менталног здравља</w:t>
            </w:r>
          </w:p>
        </w:tc>
        <w:tc>
          <w:tcPr>
            <w:tcW w:w="3647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ОАС</w:t>
            </w:r>
          </w:p>
        </w:tc>
      </w:tr>
      <w:tr w:rsidR="00E26978" w:rsidRPr="00E26978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3.</w:t>
            </w:r>
          </w:p>
        </w:tc>
        <w:tc>
          <w:tcPr>
            <w:tcW w:w="6411" w:type="dxa"/>
            <w:gridSpan w:val="4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Психологија комуникације</w:t>
            </w:r>
          </w:p>
        </w:tc>
        <w:tc>
          <w:tcPr>
            <w:tcW w:w="3647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МАС</w:t>
            </w:r>
          </w:p>
        </w:tc>
      </w:tr>
      <w:tr w:rsidR="00E26978" w:rsidRPr="00E26978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4.</w:t>
            </w:r>
          </w:p>
        </w:tc>
        <w:tc>
          <w:tcPr>
            <w:tcW w:w="6411" w:type="dxa"/>
            <w:gridSpan w:val="4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Одлике група и међугрупних односа</w:t>
            </w:r>
          </w:p>
        </w:tc>
        <w:tc>
          <w:tcPr>
            <w:tcW w:w="3647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МАС</w:t>
            </w:r>
          </w:p>
        </w:tc>
      </w:tr>
      <w:tr w:rsidR="00E26978" w:rsidRPr="00E26978" w:rsidTr="007340A0">
        <w:trPr>
          <w:trHeight w:val="227"/>
        </w:trPr>
        <w:tc>
          <w:tcPr>
            <w:tcW w:w="10980" w:type="dxa"/>
            <w:gridSpan w:val="9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Најзначајнији радови </w:t>
            </w:r>
            <w:r w:rsidRPr="00E26978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E26978" w:rsidRPr="00E26978" w:rsidTr="007340A0">
        <w:trPr>
          <w:trHeight w:val="227"/>
        </w:trPr>
        <w:tc>
          <w:tcPr>
            <w:tcW w:w="521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1.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highlight w:val="red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Миловановић, Р.</w:t>
            </w:r>
            <w:r w:rsidRPr="00E26978">
              <w:rPr>
                <w:rFonts w:eastAsia="Calibri" w:cs="Times New Roman"/>
                <w:sz w:val="22"/>
                <w:szCs w:val="20"/>
                <w:lang w:val="ru-RU" w:eastAsia="sr-Latn-CS"/>
              </w:rPr>
              <w:t xml:space="preserve">  (2013). </w:t>
            </w: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Искуство усамљености у адолесценцији,</w:t>
            </w:r>
            <w:r w:rsidRPr="00E26978">
              <w:rPr>
                <w:rFonts w:eastAsia="Calibri" w:cs="Times New Roman"/>
                <w:i/>
                <w:sz w:val="22"/>
                <w:szCs w:val="20"/>
                <w:lang w:val="sr-Cyrl-CS" w:eastAsia="sr-Latn-CS"/>
              </w:rPr>
              <w:t xml:space="preserve"> Зборник матице српске за друштвене науке, </w:t>
            </w: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Бр</w:t>
            </w:r>
            <w:r w:rsidRPr="00E26978">
              <w:rPr>
                <w:rFonts w:eastAsia="Calibri" w:cs="Times New Roman"/>
                <w:sz w:val="22"/>
                <w:szCs w:val="20"/>
                <w:lang w:val="ru-RU" w:eastAsia="sr-Latn-CS"/>
              </w:rPr>
              <w:t xml:space="preserve"> 145 (4), </w:t>
            </w:r>
            <w:r w:rsidRPr="00E26978">
              <w:rPr>
                <w:rFonts w:eastAsia="Calibri" w:cs="Times New Roman"/>
                <w:color w:val="000000"/>
                <w:sz w:val="22"/>
                <w:lang w:val="ru-RU" w:eastAsia="sr-Latn-CS"/>
              </w:rPr>
              <w:t>683–696.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highlight w:val="red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M24</w:t>
            </w:r>
          </w:p>
        </w:tc>
      </w:tr>
      <w:tr w:rsidR="00E26978" w:rsidRPr="00E26978" w:rsidTr="007340A0">
        <w:trPr>
          <w:trHeight w:val="227"/>
        </w:trPr>
        <w:tc>
          <w:tcPr>
            <w:tcW w:w="521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2.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TimesNewRomanPS-ItalicMT" w:cs="Times New Roman"/>
                <w:iCs/>
                <w:sz w:val="22"/>
                <w:szCs w:val="20"/>
                <w:highlight w:val="red"/>
                <w:lang w:val="sr-Cyrl-RS" w:eastAsia="sr-Latn-CS"/>
              </w:rPr>
            </w:pPr>
            <w:r w:rsidRPr="00E26978">
              <w:rPr>
                <w:rFonts w:eastAsia="Calibri" w:cs="Times New Roman"/>
                <w:color w:val="000000"/>
                <w:sz w:val="22"/>
                <w:lang w:val="sr-Cyrl-CS" w:eastAsia="sr-Latn-CS"/>
              </w:rPr>
              <w:t>Миловановић,</w:t>
            </w:r>
            <w:r w:rsidRPr="00E26978">
              <w:rPr>
                <w:rFonts w:eastAsia="Calibri" w:cs="Times New Roman"/>
                <w:color w:val="000000"/>
                <w:sz w:val="22"/>
                <w:lang w:val="sr-Latn-CS" w:eastAsia="sr-Latn-CS"/>
              </w:rPr>
              <w:t xml:space="preserve"> </w:t>
            </w:r>
            <w:r w:rsidRPr="00E26978">
              <w:rPr>
                <w:rFonts w:eastAsia="Calibri" w:cs="Times New Roman"/>
                <w:color w:val="000000"/>
                <w:sz w:val="22"/>
                <w:lang w:val="sr-Cyrl-CS" w:eastAsia="sr-Latn-CS"/>
              </w:rPr>
              <w:t>Р., Павковић, М. (2013). Повезаност породичних интеракција и развоја говора</w:t>
            </w:r>
            <w:r w:rsidRPr="00E26978">
              <w:rPr>
                <w:rFonts w:eastAsia="Calibri" w:cs="Times New Roman"/>
                <w:i/>
                <w:color w:val="000000"/>
                <w:sz w:val="22"/>
                <w:lang w:val="sr-Cyrl-CS" w:eastAsia="sr-Latn-CS"/>
              </w:rPr>
              <w:t>. Настава и васпитање</w:t>
            </w:r>
            <w:r w:rsidRPr="00E26978">
              <w:rPr>
                <w:rFonts w:eastAsia="Calibri" w:cs="Times New Roman"/>
                <w:color w:val="000000"/>
                <w:sz w:val="22"/>
                <w:lang w:val="sr-Cyrl-CS" w:eastAsia="sr-Latn-CS"/>
              </w:rPr>
              <w:t>,</w:t>
            </w: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 год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,</w:t>
            </w:r>
            <w:r w:rsidRPr="00E26978">
              <w:rPr>
                <w:rFonts w:eastAsia="Calibri" w:cs="Times New Roman"/>
                <w:sz w:val="22"/>
                <w:szCs w:val="20"/>
                <w:lang w:val="sr-Cyrl-RS" w:eastAsia="sr-Latn-CS"/>
              </w:rPr>
              <w:t xml:space="preserve"> 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LXII</w:t>
            </w:r>
            <w:r w:rsidRPr="00E26978">
              <w:rPr>
                <w:rFonts w:eastAsia="Calibri" w:cs="Times New Roman"/>
                <w:sz w:val="22"/>
                <w:szCs w:val="20"/>
                <w:lang w:val="sr-Cyrl-RS" w:eastAsia="sr-Latn-CS"/>
              </w:rPr>
              <w:t>,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Br 2</w:t>
            </w:r>
            <w:r w:rsidRPr="00E26978">
              <w:rPr>
                <w:rFonts w:eastAsia="Calibri" w:cs="Times New Roman"/>
                <w:sz w:val="22"/>
                <w:szCs w:val="20"/>
                <w:lang w:val="sr-Cyrl-RS" w:eastAsia="sr-Latn-CS"/>
              </w:rPr>
              <w:t>,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216-234</w:t>
            </w:r>
            <w:r w:rsidRPr="00E26978">
              <w:rPr>
                <w:rFonts w:eastAsia="Calibri" w:cs="Times New Roman"/>
                <w:sz w:val="22"/>
                <w:szCs w:val="20"/>
                <w:lang w:val="sr-Cyrl-RS" w:eastAsia="sr-Latn-CS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highlight w:val="red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M24</w:t>
            </w:r>
          </w:p>
        </w:tc>
      </w:tr>
      <w:tr w:rsidR="00E26978" w:rsidRPr="00E26978" w:rsidTr="007340A0">
        <w:trPr>
          <w:trHeight w:val="227"/>
        </w:trPr>
        <w:tc>
          <w:tcPr>
            <w:tcW w:w="521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3.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TimesNewRomanPS-ItalicMT" w:cs="Times New Roman"/>
                <w:iCs/>
                <w:sz w:val="22"/>
                <w:szCs w:val="20"/>
                <w:lang w:val="sr-Latn-CS" w:eastAsia="sr-Latn-CS"/>
              </w:rPr>
              <w:t xml:space="preserve">Milovanović, R. , Kopas-Vukašinović, E. (2014). Percepcije kreativnosti i kreativni potencijali budućih vaspitača i učitelja. </w:t>
            </w:r>
            <w:r w:rsidRPr="00E26978">
              <w:rPr>
                <w:rFonts w:eastAsia="TimesNewRomanPS-ItalicMT" w:cs="Times New Roman"/>
                <w:i/>
                <w:iCs/>
                <w:sz w:val="22"/>
                <w:szCs w:val="20"/>
                <w:lang w:val="sr-Latn-CS" w:eastAsia="sr-Latn-CS"/>
              </w:rPr>
              <w:t xml:space="preserve">Zbornik Instituta za pedagoška istraživanja </w:t>
            </w:r>
            <w:r w:rsidRPr="00E26978">
              <w:rPr>
                <w:rFonts w:eastAsia="TimesNewRomanPSMT" w:cs="Times New Roman"/>
                <w:sz w:val="22"/>
                <w:szCs w:val="20"/>
                <w:lang w:val="sr-Latn-CS" w:eastAsia="sr-Latn-CS"/>
              </w:rPr>
              <w:t>God. 46, Br .1</w:t>
            </w:r>
            <w:r w:rsidRPr="00E26978">
              <w:rPr>
                <w:rFonts w:eastAsia="TimesNewRomanPSMT" w:cs="Times New Roman"/>
                <w:sz w:val="22"/>
                <w:szCs w:val="20"/>
                <w:lang w:val="sr-Cyrl-RS" w:eastAsia="sr-Latn-CS"/>
              </w:rPr>
              <w:t>,</w:t>
            </w:r>
            <w:r w:rsidRPr="00E26978">
              <w:rPr>
                <w:rFonts w:eastAsia="TimesNewRomanPSMT" w:cs="Times New Roman"/>
                <w:sz w:val="22"/>
                <w:szCs w:val="20"/>
                <w:lang w:val="sr-Latn-CS" w:eastAsia="sr-Latn-CS"/>
              </w:rPr>
              <w:t xml:space="preserve"> 181-199.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M24</w:t>
            </w:r>
          </w:p>
        </w:tc>
      </w:tr>
      <w:tr w:rsidR="00E26978" w:rsidRPr="00E26978" w:rsidTr="007340A0">
        <w:trPr>
          <w:trHeight w:val="227"/>
        </w:trPr>
        <w:tc>
          <w:tcPr>
            <w:tcW w:w="521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4.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TimesNewRomanPS-ItalicMT" w:cs="Times New Roman"/>
                <w:i/>
                <w:iCs/>
                <w:sz w:val="22"/>
                <w:szCs w:val="20"/>
                <w:highlight w:val="red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Миловановић, Р.</w:t>
            </w:r>
            <w:r w:rsidRPr="00E26978">
              <w:rPr>
                <w:rFonts w:eastAsia="Calibri" w:cs="Times New Roman"/>
                <w:sz w:val="22"/>
                <w:szCs w:val="20"/>
                <w:lang w:val="ru-RU" w:eastAsia="sr-Latn-CS"/>
              </w:rPr>
              <w:t xml:space="preserve"> (2012). </w:t>
            </w: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Социјалне компетенције кандидата за педагошки факултет.</w:t>
            </w:r>
            <w:r w:rsidRPr="00E26978">
              <w:rPr>
                <w:rFonts w:eastAsia="Calibri" w:cs="Times New Roman"/>
                <w:i/>
                <w:sz w:val="22"/>
                <w:szCs w:val="20"/>
                <w:lang w:val="sr-Cyrl-CS" w:eastAsia="sr-Latn-CS"/>
              </w:rPr>
              <w:t>Настава и васпитање</w:t>
            </w: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,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 </w:t>
            </w: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год, 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LXI</w:t>
            </w:r>
            <w:r w:rsidRPr="00E26978">
              <w:rPr>
                <w:rFonts w:eastAsia="Calibri" w:cs="Times New Roman"/>
                <w:sz w:val="22"/>
                <w:szCs w:val="20"/>
                <w:lang w:val="sr-Cyrl-RS" w:eastAsia="sr-Latn-CS"/>
              </w:rPr>
              <w:t xml:space="preserve">, 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Br</w:t>
            </w:r>
            <w:r w:rsidRPr="00E26978">
              <w:rPr>
                <w:rFonts w:eastAsia="Calibri" w:cs="Times New Roman"/>
                <w:sz w:val="22"/>
                <w:szCs w:val="20"/>
                <w:lang w:val="ru-RU" w:eastAsia="sr-Latn-CS"/>
              </w:rPr>
              <w:t xml:space="preserve">.4, 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662-680.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highlight w:val="red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M24</w:t>
            </w:r>
          </w:p>
        </w:tc>
      </w:tr>
      <w:tr w:rsidR="00E26978" w:rsidRPr="00E26978" w:rsidTr="007340A0">
        <w:trPr>
          <w:trHeight w:val="227"/>
        </w:trPr>
        <w:tc>
          <w:tcPr>
            <w:tcW w:w="521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5.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Milovanović, R</w:t>
            </w: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. (201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3</w:t>
            </w: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)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. Empathy as motivation background of prosocial behavior, In:Aneta Barakoska </w:t>
            </w: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(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Ed</w:t>
            </w: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)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„ </w:t>
            </w:r>
            <w:r w:rsidRPr="00E26978">
              <w:rPr>
                <w:rFonts w:eastAsia="Calibri" w:cs="Times New Roman"/>
                <w:i/>
                <w:sz w:val="22"/>
                <w:szCs w:val="20"/>
                <w:lang w:val="sr-Latn-CS" w:eastAsia="sr-Latn-CS"/>
              </w:rPr>
              <w:t>Edukation between tradition and modernity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“, (str.170-182) Skopje:Institute of Pedagogy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M33</w:t>
            </w:r>
          </w:p>
        </w:tc>
      </w:tr>
      <w:tr w:rsidR="00E26978" w:rsidRPr="00E26978" w:rsidTr="007340A0">
        <w:trPr>
          <w:trHeight w:val="227"/>
        </w:trPr>
        <w:tc>
          <w:tcPr>
            <w:tcW w:w="521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6.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Milovanovic, R. (2012). The problem of the identification of the gifted: How (not) to recognise the gifted child?</w:t>
            </w:r>
            <w:r w:rsidRPr="00E26978">
              <w:rPr>
                <w:rFonts w:eastAsia="Calibri" w:cs="Times New Roman"/>
                <w:i/>
                <w:sz w:val="22"/>
                <w:szCs w:val="20"/>
                <w:lang w:val="sr-Cyrl-CS" w:eastAsia="sr-Latn-CS"/>
              </w:rPr>
              <w:t xml:space="preserve"> 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In: Takač Marta (Ed.), </w:t>
            </w:r>
            <w:r w:rsidRPr="00E26978">
              <w:rPr>
                <w:rFonts w:eastAsia="Calibri" w:cs="Times New Roman"/>
                <w:i/>
                <w:sz w:val="22"/>
                <w:szCs w:val="20"/>
                <w:lang w:val="sr-Latn-CS" w:eastAsia="sr-Latn-CS"/>
              </w:rPr>
              <w:t xml:space="preserve">Methods of working with talented students 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pp.</w:t>
            </w:r>
            <w:r w:rsidRPr="00E26978">
              <w:rPr>
                <w:rFonts w:eastAsia="Calibri" w:cs="Times New Roman"/>
                <w:sz w:val="22"/>
                <w:szCs w:val="20"/>
                <w:lang w:val="sr-Cyrl-BA" w:eastAsia="sr-Latn-CS"/>
              </w:rPr>
              <w:t>217-315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). Subotica: Teacher Education in Hungarian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M33</w:t>
            </w:r>
          </w:p>
        </w:tc>
      </w:tr>
      <w:tr w:rsidR="00E26978" w:rsidRPr="00E26978" w:rsidTr="007340A0">
        <w:trPr>
          <w:trHeight w:val="516"/>
        </w:trPr>
        <w:tc>
          <w:tcPr>
            <w:tcW w:w="521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7.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Milovanovic, R. &amp; Marinkovic, T. (2014). Emphatic Competences of Future Helpers. In:</w:t>
            </w:r>
            <w:r w:rsidRPr="00E26978">
              <w:rPr>
                <w:rFonts w:eastAsia="Arial Unicode MS" w:cs="Times New Roman"/>
                <w:sz w:val="22"/>
                <w:szCs w:val="20"/>
                <w:shd w:val="clear" w:color="auto" w:fill="FFFFFF"/>
                <w:lang w:val="sr-Latn-CS" w:eastAsia="sr-Latn-CS"/>
              </w:rPr>
              <w:t xml:space="preserve"> Cristian Vasile, Florence Mihaela Singer and Emil Stan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(Ed.),</w:t>
            </w:r>
            <w:r w:rsidRPr="00E26978">
              <w:rPr>
                <w:rFonts w:eastAsia="Calibri" w:cs="Times New Roman"/>
                <w:b/>
                <w:sz w:val="22"/>
                <w:szCs w:val="20"/>
                <w:lang w:val="sr-Latn-CS" w:eastAsia="sr-Latn-CS"/>
              </w:rPr>
              <w:t xml:space="preserve"> 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Education and psychology challenges-teachers for the knowledge society-2</w:t>
            </w:r>
            <w:r w:rsidRPr="00E26978">
              <w:rPr>
                <w:rFonts w:eastAsia="Calibri" w:cs="Times New Roman"/>
                <w:sz w:val="22"/>
                <w:szCs w:val="20"/>
                <w:vertAlign w:val="superscript"/>
                <w:lang w:val="sr-Latn-CS" w:eastAsia="sr-Latn-CS"/>
              </w:rPr>
              <w:t>ND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Edition EPC-TKS2014 (pp. 66-71) Ploiesti-</w:t>
            </w:r>
            <w:r w:rsidRPr="00E26978">
              <w:rPr>
                <w:rFonts w:eastAsia="Times New Roman" w:cs="Times New Roman"/>
                <w:sz w:val="22"/>
                <w:szCs w:val="20"/>
                <w:lang w:val="sr-Latn-CS" w:eastAsia="sr-Latn-CS"/>
              </w:rPr>
              <w:t xml:space="preserve"> </w:t>
            </w:r>
            <w:r w:rsidRPr="00E26978">
              <w:rPr>
                <w:rFonts w:eastAsia="Times New Roman" w:cs="Times New Roman"/>
                <w:b/>
                <w:bCs/>
                <w:sz w:val="22"/>
                <w:szCs w:val="20"/>
                <w:lang w:val="sr-Latn-CS" w:eastAsia="sr-Latn-CS"/>
              </w:rPr>
              <w:t xml:space="preserve"> Romania</w:t>
            </w:r>
            <w:r w:rsidRPr="00E26978">
              <w:rPr>
                <w:rFonts w:eastAsia="Calibri" w:cs="Times New Roman"/>
                <w:b/>
                <w:sz w:val="22"/>
                <w:szCs w:val="20"/>
                <w:lang w:val="sr-Latn-CS" w:eastAsia="sr-Latn-C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M33</w:t>
            </w:r>
          </w:p>
        </w:tc>
      </w:tr>
      <w:tr w:rsidR="00E26978" w:rsidRPr="00E26978" w:rsidTr="007340A0">
        <w:trPr>
          <w:trHeight w:val="227"/>
        </w:trPr>
        <w:tc>
          <w:tcPr>
            <w:tcW w:w="521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8.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Arial Unicode MS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Milovanović,  R. (2015). Effectiveness of prospective lower primary and kindergarten teachers in the interpretation on facial expressions, In:</w:t>
            </w:r>
            <w:r w:rsidRPr="00E26978">
              <w:rPr>
                <w:rFonts w:eastAsia="Arial Unicode MS" w:cs="Times New Roman"/>
                <w:sz w:val="22"/>
                <w:szCs w:val="20"/>
                <w:lang w:val="sr-Latn-CS" w:eastAsia="sr-Latn-CS"/>
              </w:rPr>
              <w:t xml:space="preserve"> Cristian Vasile, Florence Mihaela Singer and Emil Stan (Ed), 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Education and psychology challenges-teachers for the knowledge society-3</w:t>
            </w:r>
            <w:r w:rsidRPr="00E26978">
              <w:rPr>
                <w:rFonts w:eastAsia="Calibri" w:cs="Times New Roman"/>
                <w:sz w:val="22"/>
                <w:szCs w:val="20"/>
                <w:vertAlign w:val="superscript"/>
                <w:lang w:val="sr-Latn-CS" w:eastAsia="sr-Latn-CS"/>
              </w:rPr>
              <w:t>ND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Edition EPC-TKS2015 (</w:t>
            </w:r>
            <w:r w:rsidRPr="00E26978">
              <w:rPr>
                <w:rFonts w:eastAsia="Calibri" w:cs="Times New Roman"/>
                <w:bCs/>
                <w:i/>
                <w:iCs/>
                <w:sz w:val="22"/>
                <w:szCs w:val="20"/>
                <w:shd w:val="clear" w:color="auto" w:fill="FFFFFF"/>
                <w:lang w:val="sr-Latn-CS" w:eastAsia="sr-Latn-CS"/>
              </w:rPr>
              <w:t>pp. 42-49)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</w:t>
            </w:r>
            <w:r w:rsidRPr="00E26978">
              <w:rPr>
                <w:rFonts w:eastAsia="Times New Roman" w:cs="Times New Roman"/>
                <w:b/>
                <w:bCs/>
                <w:sz w:val="22"/>
                <w:szCs w:val="20"/>
                <w:lang w:val="sr-Latn-CS" w:eastAsia="sr-Latn-CS"/>
              </w:rPr>
              <w:t xml:space="preserve">Romania </w:t>
            </w:r>
            <w:r w:rsidRPr="00E26978">
              <w:rPr>
                <w:rFonts w:eastAsia="Calibri" w:cs="Times New Roman"/>
                <w:b/>
                <w:bCs/>
                <w:sz w:val="22"/>
                <w:szCs w:val="20"/>
                <w:lang w:val="sr-Latn-CS" w:eastAsia="sr-Latn-CS"/>
              </w:rPr>
              <w:t>-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Ploiesti</w:t>
            </w:r>
          </w:p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highlight w:val="red"/>
                <w:lang w:val="sr-Cyrl-CS" w:eastAsia="sr-Latn-C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highlight w:val="red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M33</w:t>
            </w:r>
          </w:p>
        </w:tc>
      </w:tr>
      <w:tr w:rsidR="00E26978" w:rsidRPr="00E26978" w:rsidTr="007340A0">
        <w:trPr>
          <w:trHeight w:val="227"/>
        </w:trPr>
        <w:tc>
          <w:tcPr>
            <w:tcW w:w="521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9.</w:t>
            </w:r>
          </w:p>
        </w:tc>
        <w:tc>
          <w:tcPr>
            <w:tcW w:w="9289" w:type="dxa"/>
            <w:gridSpan w:val="7"/>
            <w:shd w:val="clear" w:color="auto" w:fill="auto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Milovanovic, R. i Stojanovic, R. (2014). </w:t>
            </w:r>
            <w:r w:rsidRPr="00E26978">
              <w:rPr>
                <w:rFonts w:eastAsia="Calibri" w:cs="Times New Roman"/>
                <w:i/>
                <w:sz w:val="22"/>
                <w:szCs w:val="20"/>
                <w:lang w:val="sr-Latn-CS" w:eastAsia="sr-Latn-CS"/>
              </w:rPr>
              <w:t>The social competencies and authoritarianism of pedagogical faculty candidates</w:t>
            </w:r>
            <w:r w:rsidRPr="00E26978">
              <w:rPr>
                <w:rFonts w:eastAsia="Calibri" w:cs="Times New Roman"/>
                <w:i/>
                <w:sz w:val="22"/>
                <w:szCs w:val="20"/>
                <w:lang w:val="sr-Cyrl-RS" w:eastAsia="sr-Latn-CS"/>
              </w:rPr>
              <w:t xml:space="preserve">, </w:t>
            </w:r>
            <w:r w:rsidRPr="00E26978">
              <w:rPr>
                <w:rFonts w:eastAsia="Calibri" w:cs="Times New Roman"/>
                <w:sz w:val="22"/>
                <w:szCs w:val="20"/>
                <w:lang w:val="sr-Latn-RS" w:eastAsia="ja-JP"/>
              </w:rPr>
              <w:t xml:space="preserve">Markovic, Z, 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ja-JP"/>
              </w:rPr>
              <w:t xml:space="preserve"> Đigić, G. i D. Todorović (edit)</w:t>
            </w:r>
            <w:r w:rsidRPr="00E26978">
              <w:rPr>
                <w:rFonts w:eastAsia="Calibri" w:cs="Times New Roman"/>
                <w:sz w:val="22"/>
                <w:szCs w:val="20"/>
                <w:lang w:val="sr-Cyrl-RS" w:eastAsia="ja-JP"/>
              </w:rPr>
              <w:t>,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ja-JP"/>
              </w:rPr>
              <w:t>International Conference 10th Days of Applied Psychology, Niš, 26-27th September 2014; Book of abstract,  p.87-88; ISBN 978-86-7379-338-2.</w:t>
            </w:r>
          </w:p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TimesNewRomanPS-ItalicMT" w:cs="Times New Roman"/>
                <w:i/>
                <w:iCs/>
                <w:sz w:val="22"/>
                <w:szCs w:val="20"/>
                <w:highlight w:val="red"/>
                <w:lang w:val="sr-Latn-CS" w:eastAsia="sr-Latn-C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highlight w:val="red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M34</w:t>
            </w:r>
          </w:p>
        </w:tc>
      </w:tr>
      <w:tr w:rsidR="00E26978" w:rsidRPr="00E26978" w:rsidTr="007340A0">
        <w:trPr>
          <w:trHeight w:val="227"/>
        </w:trPr>
        <w:tc>
          <w:tcPr>
            <w:tcW w:w="521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10.</w:t>
            </w:r>
          </w:p>
        </w:tc>
        <w:tc>
          <w:tcPr>
            <w:tcW w:w="9289" w:type="dxa"/>
            <w:gridSpan w:val="7"/>
            <w:shd w:val="clear" w:color="auto" w:fill="auto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ja-JP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Milovanovic, R.  (2014). </w:t>
            </w:r>
            <w:r w:rsidRPr="00E26978">
              <w:rPr>
                <w:rFonts w:eastAsia="Calibri" w:cs="Times New Roman"/>
                <w:i/>
                <w:sz w:val="22"/>
                <w:szCs w:val="20"/>
                <w:lang w:val="sr-Latn-CS" w:eastAsia="sr-Latn-CS"/>
              </w:rPr>
              <w:t>Incitement the Development of Empatihc Competencies in Children of Preschool Age.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2nd IRI International Educational Conference, Komarno, Slovakia 17-21 October 2014 Editor janos Tibor Karlovits (Book of abstract p.47) ISBN 978-80-89691-13-5</w:t>
            </w:r>
          </w:p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M34</w:t>
            </w:r>
          </w:p>
        </w:tc>
      </w:tr>
      <w:tr w:rsidR="00E26978" w:rsidRPr="00E26978" w:rsidTr="007340A0">
        <w:trPr>
          <w:trHeight w:val="227"/>
        </w:trPr>
        <w:tc>
          <w:tcPr>
            <w:tcW w:w="10980" w:type="dxa"/>
            <w:gridSpan w:val="9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E26978" w:rsidRPr="00E26978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6051" w:type="dxa"/>
            <w:gridSpan w:val="4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ru-RU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ru-RU" w:eastAsia="sr-Latn-CS"/>
              </w:rPr>
              <w:t>/</w:t>
            </w:r>
          </w:p>
        </w:tc>
      </w:tr>
      <w:tr w:rsidR="00E26978" w:rsidRPr="00E26978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6051" w:type="dxa"/>
            <w:gridSpan w:val="4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/</w:t>
            </w:r>
          </w:p>
        </w:tc>
      </w:tr>
      <w:tr w:rsidR="00E26978" w:rsidRPr="00E26978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Домаћи: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/</w:t>
            </w:r>
          </w:p>
        </w:tc>
        <w:tc>
          <w:tcPr>
            <w:tcW w:w="3647" w:type="dxa"/>
            <w:gridSpan w:val="3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Међународни:</w:t>
            </w:r>
            <w:r w:rsidRPr="00E26978">
              <w:rPr>
                <w:rFonts w:eastAsia="Calibri" w:cs="Times New Roman"/>
                <w:sz w:val="22"/>
                <w:szCs w:val="20"/>
                <w:lang w:val="sr-Latn-CS" w:eastAsia="sr-Latn-CS"/>
              </w:rPr>
              <w:t xml:space="preserve">   /</w:t>
            </w:r>
          </w:p>
        </w:tc>
      </w:tr>
      <w:tr w:rsidR="00E26978" w:rsidRPr="00E26978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Усавршавања </w:t>
            </w:r>
          </w:p>
        </w:tc>
        <w:tc>
          <w:tcPr>
            <w:tcW w:w="6051" w:type="dxa"/>
            <w:gridSpan w:val="4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/</w:t>
            </w:r>
          </w:p>
        </w:tc>
      </w:tr>
      <w:tr w:rsidR="00E26978" w:rsidRPr="00E26978" w:rsidTr="007340A0">
        <w:trPr>
          <w:trHeight w:val="227"/>
        </w:trPr>
        <w:tc>
          <w:tcPr>
            <w:tcW w:w="10980" w:type="dxa"/>
            <w:gridSpan w:val="9"/>
            <w:vAlign w:val="center"/>
          </w:tcPr>
          <w:p w:rsidR="00E26978" w:rsidRPr="00E26978" w:rsidRDefault="00E26978" w:rsidP="00E2697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E26978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Други подаци које сматрате релевантним: /</w:t>
            </w:r>
          </w:p>
        </w:tc>
      </w:tr>
    </w:tbl>
    <w:p w:rsidR="004C04E0" w:rsidRPr="0071682C" w:rsidRDefault="004C04E0" w:rsidP="0071682C">
      <w:bookmarkStart w:id="1" w:name="_GoBack"/>
      <w:bookmarkEnd w:id="1"/>
    </w:p>
    <w:sectPr w:rsidR="004C04E0" w:rsidRPr="0071682C" w:rsidSect="0071682C">
      <w:pgSz w:w="11907" w:h="16840" w:code="9"/>
      <w:pgMar w:top="630" w:right="657" w:bottom="144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5C29AD"/>
    <w:multiLevelType w:val="hybridMultilevel"/>
    <w:tmpl w:val="2D6CF71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47342"/>
    <w:rsid w:val="00111430"/>
    <w:rsid w:val="00117D78"/>
    <w:rsid w:val="00172773"/>
    <w:rsid w:val="00276D7F"/>
    <w:rsid w:val="0039769F"/>
    <w:rsid w:val="003E7C7B"/>
    <w:rsid w:val="003E7E3F"/>
    <w:rsid w:val="004606CC"/>
    <w:rsid w:val="004C04E0"/>
    <w:rsid w:val="006816AD"/>
    <w:rsid w:val="006B01FF"/>
    <w:rsid w:val="0071682C"/>
    <w:rsid w:val="00812FF6"/>
    <w:rsid w:val="00994337"/>
    <w:rsid w:val="00A30B61"/>
    <w:rsid w:val="00A87CA2"/>
    <w:rsid w:val="00AD19D1"/>
    <w:rsid w:val="00BA1E8E"/>
    <w:rsid w:val="00E10723"/>
    <w:rsid w:val="00E26978"/>
    <w:rsid w:val="00F160FC"/>
    <w:rsid w:val="00FD58EE"/>
    <w:rsid w:val="00FE2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465D4E-A2A6-46E1-954D-59C16B69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682C"/>
    <w:pPr>
      <w:widowControl w:val="0"/>
      <w:autoSpaceDE w:val="0"/>
      <w:autoSpaceDN w:val="0"/>
      <w:adjustRightInd w:val="0"/>
      <w:outlineLvl w:val="0"/>
    </w:pPr>
    <w:rPr>
      <w:rFonts w:eastAsia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812FF6"/>
    <w:rPr>
      <w:rFonts w:ascii="Consolas" w:hAnsi="Consolas"/>
      <w:sz w:val="21"/>
      <w:szCs w:val="21"/>
      <w:lang w:val="sr-Latn-C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FF6"/>
    <w:rPr>
      <w:rFonts w:ascii="Consolas" w:hAnsi="Consolas"/>
      <w:sz w:val="21"/>
      <w:szCs w:val="21"/>
      <w:lang w:val="sr-Latn-CS"/>
    </w:rPr>
  </w:style>
  <w:style w:type="character" w:customStyle="1" w:styleId="A0">
    <w:name w:val="A0"/>
    <w:uiPriority w:val="99"/>
    <w:rsid w:val="00812FF6"/>
    <w:rPr>
      <w:color w:val="000000"/>
      <w:sz w:val="20"/>
      <w:szCs w:val="20"/>
    </w:rPr>
  </w:style>
  <w:style w:type="character" w:customStyle="1" w:styleId="A1">
    <w:name w:val="A1"/>
    <w:uiPriority w:val="99"/>
    <w:rsid w:val="00A30B61"/>
    <w:rPr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A30B61"/>
    <w:pPr>
      <w:spacing w:after="200" w:line="276" w:lineRule="auto"/>
      <w:ind w:left="720"/>
      <w:contextualSpacing/>
    </w:pPr>
    <w:rPr>
      <w:rFonts w:asciiTheme="minorHAnsi" w:hAnsiTheme="minorHAnsi"/>
      <w:sz w:val="22"/>
      <w:lang w:val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71682C"/>
    <w:rPr>
      <w:rFonts w:eastAsia="Calibri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076CC-D4D2-4D68-86AC-8D3746A54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Ivan</cp:lastModifiedBy>
  <cp:revision>7</cp:revision>
  <dcterms:created xsi:type="dcterms:W3CDTF">2015-03-22T18:08:00Z</dcterms:created>
  <dcterms:modified xsi:type="dcterms:W3CDTF">2015-10-21T07:44:00Z</dcterms:modified>
</cp:coreProperties>
</file>